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56" w:rsidRDefault="00F11456"/>
    <w:p w:rsidR="00F11456" w:rsidRDefault="00F11456">
      <w:r>
        <w:t>Toelichting</w:t>
      </w:r>
    </w:p>
    <w:p w:rsidR="00F11456" w:rsidRDefault="00F11456"/>
    <w:p w:rsidR="00F11456" w:rsidRDefault="00F11456"/>
    <w:tbl>
      <w:tblPr>
        <w:tblW w:w="838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482"/>
      </w:tblGrid>
      <w:tr w:rsidR="00F11456" w:rsidRPr="00E84323" w:rsidTr="00774943">
        <w:tc>
          <w:tcPr>
            <w:tcW w:w="900" w:type="dxa"/>
          </w:tcPr>
          <w:p w:rsidR="00F11456" w:rsidRPr="00E84323" w:rsidRDefault="00F11456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I.</w:t>
            </w:r>
          </w:p>
        </w:tc>
        <w:tc>
          <w:tcPr>
            <w:tcW w:w="7482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Staat van de oprichtingskosten</w:t>
            </w:r>
          </w:p>
        </w:tc>
      </w:tr>
      <w:tr w:rsidR="00F11456" w:rsidRPr="00E84323" w:rsidTr="00774943">
        <w:tc>
          <w:tcPr>
            <w:tcW w:w="900" w:type="dxa"/>
          </w:tcPr>
          <w:p w:rsidR="00F11456" w:rsidRPr="00E84323" w:rsidRDefault="00F11456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II.</w:t>
            </w:r>
          </w:p>
        </w:tc>
        <w:tc>
          <w:tcPr>
            <w:tcW w:w="7482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Staat van de immateriële vaste activa</w:t>
            </w:r>
          </w:p>
        </w:tc>
      </w:tr>
      <w:tr w:rsidR="00F11456" w:rsidRPr="00E84323" w:rsidTr="00774943">
        <w:tc>
          <w:tcPr>
            <w:tcW w:w="900" w:type="dxa"/>
          </w:tcPr>
          <w:p w:rsidR="00F11456" w:rsidRPr="00E84323" w:rsidRDefault="00F11456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III.</w:t>
            </w:r>
          </w:p>
        </w:tc>
        <w:tc>
          <w:tcPr>
            <w:tcW w:w="7482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Staat van de materiële vaste activa</w:t>
            </w:r>
          </w:p>
        </w:tc>
      </w:tr>
      <w:tr w:rsidR="00F11456" w:rsidRPr="00E84323" w:rsidTr="00774943">
        <w:tc>
          <w:tcPr>
            <w:tcW w:w="900" w:type="dxa"/>
          </w:tcPr>
          <w:p w:rsidR="00F11456" w:rsidRPr="00E84323" w:rsidRDefault="00F11456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IV.</w:t>
            </w:r>
          </w:p>
        </w:tc>
        <w:tc>
          <w:tcPr>
            <w:tcW w:w="7482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Staat van de financiële vaste activa</w:t>
            </w:r>
          </w:p>
        </w:tc>
      </w:tr>
      <w:tr w:rsidR="00F11456" w:rsidRPr="00E84323" w:rsidTr="00774943">
        <w:tc>
          <w:tcPr>
            <w:tcW w:w="900" w:type="dxa"/>
          </w:tcPr>
          <w:p w:rsidR="00F11456" w:rsidRPr="00E84323" w:rsidRDefault="00F11456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V.</w:t>
            </w:r>
          </w:p>
        </w:tc>
        <w:tc>
          <w:tcPr>
            <w:tcW w:w="7482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Lijst van de deelnemingen en maatschappelijke rechten in andere ondernemingen en van de ondernemingen waarvoor de onderneming onbeperkt aansprakelijk is in haar hoedanigheid van onbeperkt aansprakelijk vennoot of lid</w:t>
            </w:r>
          </w:p>
        </w:tc>
      </w:tr>
      <w:tr w:rsidR="00F11456" w:rsidRPr="00E84323" w:rsidTr="00774943">
        <w:tc>
          <w:tcPr>
            <w:tcW w:w="900" w:type="dxa"/>
          </w:tcPr>
          <w:p w:rsidR="00F11456" w:rsidRPr="00E84323" w:rsidRDefault="00F11456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VI.</w:t>
            </w:r>
          </w:p>
        </w:tc>
        <w:tc>
          <w:tcPr>
            <w:tcW w:w="7482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Geldbeleggingen: overige beleggingen</w:t>
            </w:r>
          </w:p>
        </w:tc>
      </w:tr>
      <w:tr w:rsidR="00F11456" w:rsidRPr="00E84323" w:rsidTr="00774943">
        <w:tc>
          <w:tcPr>
            <w:tcW w:w="900" w:type="dxa"/>
          </w:tcPr>
          <w:p w:rsidR="00F11456" w:rsidRPr="00E84323" w:rsidRDefault="00F11456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VII.</w:t>
            </w:r>
          </w:p>
        </w:tc>
        <w:tc>
          <w:tcPr>
            <w:tcW w:w="7482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Overlopende rekeningen</w:t>
            </w:r>
          </w:p>
        </w:tc>
      </w:tr>
      <w:tr w:rsidR="00F11456" w:rsidRPr="00E84323" w:rsidTr="00774943">
        <w:tc>
          <w:tcPr>
            <w:tcW w:w="900" w:type="dxa"/>
          </w:tcPr>
          <w:p w:rsidR="00F11456" w:rsidRPr="00E84323" w:rsidRDefault="00F11456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VIII.</w:t>
            </w:r>
          </w:p>
        </w:tc>
        <w:tc>
          <w:tcPr>
            <w:tcW w:w="7482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Staat van het kapitaal</w:t>
            </w:r>
          </w:p>
        </w:tc>
      </w:tr>
      <w:tr w:rsidR="00F11456" w:rsidRPr="00E84323" w:rsidTr="00774943">
        <w:tc>
          <w:tcPr>
            <w:tcW w:w="900" w:type="dxa"/>
          </w:tcPr>
          <w:p w:rsidR="00F11456" w:rsidRPr="00E84323" w:rsidRDefault="00F11456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IX.</w:t>
            </w:r>
          </w:p>
        </w:tc>
        <w:tc>
          <w:tcPr>
            <w:tcW w:w="7482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Voorzieningen voor overige risico’s en kosten</w:t>
            </w:r>
          </w:p>
        </w:tc>
      </w:tr>
      <w:tr w:rsidR="00F11456" w:rsidRPr="00E84323" w:rsidTr="00774943">
        <w:tc>
          <w:tcPr>
            <w:tcW w:w="900" w:type="dxa"/>
          </w:tcPr>
          <w:p w:rsidR="00F11456" w:rsidRPr="00E84323" w:rsidRDefault="00F11456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X.</w:t>
            </w:r>
          </w:p>
        </w:tc>
        <w:tc>
          <w:tcPr>
            <w:tcW w:w="7482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Staat van de schulden</w:t>
            </w:r>
          </w:p>
        </w:tc>
      </w:tr>
      <w:tr w:rsidR="00F11456" w:rsidRPr="00E84323" w:rsidTr="00774943">
        <w:tc>
          <w:tcPr>
            <w:tcW w:w="900" w:type="dxa"/>
          </w:tcPr>
          <w:p w:rsidR="00F11456" w:rsidRPr="00E84323" w:rsidRDefault="00F11456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XI.</w:t>
            </w:r>
          </w:p>
        </w:tc>
        <w:tc>
          <w:tcPr>
            <w:tcW w:w="7482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Overlopende rekeningen</w:t>
            </w:r>
          </w:p>
        </w:tc>
      </w:tr>
      <w:tr w:rsidR="00F11456" w:rsidRPr="00E84323" w:rsidTr="00774943">
        <w:tc>
          <w:tcPr>
            <w:tcW w:w="900" w:type="dxa"/>
          </w:tcPr>
          <w:p w:rsidR="00F11456" w:rsidRPr="00E84323" w:rsidRDefault="00F11456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XII.</w:t>
            </w:r>
          </w:p>
        </w:tc>
        <w:tc>
          <w:tcPr>
            <w:tcW w:w="7482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Bedrijfsresultaten</w:t>
            </w:r>
          </w:p>
        </w:tc>
      </w:tr>
      <w:tr w:rsidR="00F11456" w:rsidRPr="00E84323" w:rsidTr="00774943">
        <w:tc>
          <w:tcPr>
            <w:tcW w:w="900" w:type="dxa"/>
          </w:tcPr>
          <w:p w:rsidR="00F11456" w:rsidRPr="00E84323" w:rsidRDefault="00F11456" w:rsidP="00774943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XIII.</w:t>
            </w:r>
          </w:p>
        </w:tc>
        <w:tc>
          <w:tcPr>
            <w:tcW w:w="7482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Financiële resultaten</w:t>
            </w:r>
          </w:p>
        </w:tc>
      </w:tr>
      <w:tr w:rsidR="00F11456" w:rsidRPr="00E84323" w:rsidTr="00774943">
        <w:tc>
          <w:tcPr>
            <w:tcW w:w="900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XIV;</w:t>
            </w:r>
          </w:p>
        </w:tc>
        <w:tc>
          <w:tcPr>
            <w:tcW w:w="7482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Uitzonderlijke resultaten</w:t>
            </w:r>
          </w:p>
        </w:tc>
      </w:tr>
      <w:tr w:rsidR="00F11456" w:rsidRPr="00E84323" w:rsidTr="00774943">
        <w:tc>
          <w:tcPr>
            <w:tcW w:w="900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XV.</w:t>
            </w:r>
          </w:p>
        </w:tc>
        <w:tc>
          <w:tcPr>
            <w:tcW w:w="7482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Belastingen op het resultaat</w:t>
            </w:r>
          </w:p>
        </w:tc>
      </w:tr>
      <w:tr w:rsidR="00F11456" w:rsidRPr="00E84323" w:rsidTr="00774943">
        <w:tc>
          <w:tcPr>
            <w:tcW w:w="900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XVI.</w:t>
            </w:r>
          </w:p>
        </w:tc>
        <w:tc>
          <w:tcPr>
            <w:tcW w:w="7482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Belasting op de toegevoegde waarde en belastingen ten laste van derden</w:t>
            </w:r>
          </w:p>
        </w:tc>
      </w:tr>
      <w:tr w:rsidR="00F11456" w:rsidRPr="00E84323" w:rsidTr="00774943">
        <w:tc>
          <w:tcPr>
            <w:tcW w:w="900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XVII.</w:t>
            </w:r>
          </w:p>
        </w:tc>
        <w:tc>
          <w:tcPr>
            <w:tcW w:w="7482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Niet in de balans opgenomen rechten en verplichtingen</w:t>
            </w:r>
          </w:p>
        </w:tc>
      </w:tr>
      <w:tr w:rsidR="00F11456" w:rsidRPr="00E84323" w:rsidTr="00774943">
        <w:tc>
          <w:tcPr>
            <w:tcW w:w="900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XVIII.</w:t>
            </w:r>
          </w:p>
        </w:tc>
        <w:tc>
          <w:tcPr>
            <w:tcW w:w="7482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Betrekkingen met verbonden ondernemingen en met ondernemingen waarmee een deelnemingsverhouding bestaat</w:t>
            </w:r>
          </w:p>
        </w:tc>
      </w:tr>
      <w:tr w:rsidR="00F11456" w:rsidRPr="00E84323" w:rsidTr="00774943">
        <w:tc>
          <w:tcPr>
            <w:tcW w:w="900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XIX.</w:t>
            </w:r>
          </w:p>
        </w:tc>
        <w:tc>
          <w:tcPr>
            <w:tcW w:w="7482" w:type="dxa"/>
          </w:tcPr>
          <w:p w:rsidR="00F11456" w:rsidRPr="00E84323" w:rsidRDefault="00F11456" w:rsidP="00774943">
            <w:pPr>
              <w:tabs>
                <w:tab w:val="left" w:pos="9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4323">
              <w:rPr>
                <w:rFonts w:ascii="Verdana" w:hAnsi="Verdana"/>
                <w:sz w:val="16"/>
                <w:szCs w:val="16"/>
              </w:rPr>
              <w:t>Financiële betrekkingen met bestuurders, zaakvoerders en natuurlijke of rechtspersonen die de onderneming controleren zonder verbonden ondernemingen te zijn (en de ondernemingen die door hen gecontroleerd worden)</w:t>
            </w:r>
          </w:p>
        </w:tc>
      </w:tr>
    </w:tbl>
    <w:p w:rsidR="005A41A2" w:rsidRDefault="005A41A2"/>
    <w:sectPr w:rsidR="005A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11456"/>
    <w:rsid w:val="005A41A2"/>
    <w:rsid w:val="00F1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</dc:creator>
  <cp:keywords/>
  <dc:description/>
  <cp:lastModifiedBy>hendrik</cp:lastModifiedBy>
  <cp:revision>2</cp:revision>
  <dcterms:created xsi:type="dcterms:W3CDTF">2009-09-12T08:45:00Z</dcterms:created>
  <dcterms:modified xsi:type="dcterms:W3CDTF">2009-09-12T08:46:00Z</dcterms:modified>
</cp:coreProperties>
</file>